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760AD3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Particle characteristics</w:t>
      </w:r>
    </w:p>
    <w:p w:rsidR="001E159E" w:rsidRDefault="001E159E" w:rsidP="001E159E">
      <w:pPr>
        <w:spacing w:after="180"/>
      </w:pPr>
    </w:p>
    <w:p w:rsidR="00760AD3" w:rsidRPr="00760AD3" w:rsidRDefault="00BC1BFD" w:rsidP="00760AD3">
      <w:pPr>
        <w:spacing w:line="276" w:lineRule="auto"/>
      </w:pPr>
      <w:r>
        <w:rPr>
          <w:lang w:val="en-US"/>
        </w:rPr>
        <w:t>All matter</w:t>
      </w:r>
      <w:r w:rsidR="00760AD3" w:rsidRPr="00760AD3">
        <w:rPr>
          <w:lang w:val="en-US"/>
        </w:rPr>
        <w:t xml:space="preserve"> is made from particles.</w:t>
      </w:r>
    </w:p>
    <w:p w:rsidR="00760AD3" w:rsidRPr="00760AD3" w:rsidRDefault="00760AD3" w:rsidP="00760AD3">
      <w:pPr>
        <w:spacing w:after="240"/>
      </w:pPr>
      <w:r w:rsidRPr="00760AD3">
        <w:rPr>
          <w:lang w:val="en-US"/>
        </w:rPr>
        <w:t xml:space="preserve">The particle model helps us think about the particles in different substances or materials. </w:t>
      </w:r>
    </w:p>
    <w:p w:rsidR="001E159E" w:rsidRDefault="00760AD3" w:rsidP="00760AD3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905608</wp:posOffset>
                </wp:positionH>
                <wp:positionV relativeFrom="paragraph">
                  <wp:posOffset>1369695</wp:posOffset>
                </wp:positionV>
                <wp:extent cx="3867505" cy="271585"/>
                <wp:effectExtent l="0" t="0" r="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505" cy="271585"/>
                          <a:chOff x="0" y="0"/>
                          <a:chExt cx="3867505" cy="27158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5950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0AD3" w:rsidRDefault="00760AD3" w:rsidP="00760AD3">
                              <w:pPr>
                                <w:jc w:val="center"/>
                              </w:pPr>
                              <w:r>
                                <w:t>Solid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8691" y="0"/>
                            <a:ext cx="615950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0AD3" w:rsidRDefault="00760AD3" w:rsidP="00760AD3">
                              <w:pPr>
                                <w:jc w:val="center"/>
                              </w:pPr>
                              <w:r>
                                <w:t>Liquid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1555" y="440"/>
                            <a:ext cx="615950" cy="27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0AD3" w:rsidRDefault="00760AD3" w:rsidP="00760AD3">
                              <w:pPr>
                                <w:jc w:val="center"/>
                              </w:pPr>
                              <w:r>
                                <w:t>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left:0;text-align:left;margin-left:71.3pt;margin-top:107.85pt;width:304.55pt;height:21.4pt;z-index:251663360;mso-width-relative:margin;mso-height-relative:margin" coordsize="3867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6159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760AD3" w:rsidRDefault="00760AD3" w:rsidP="00760AD3">
                        <w:pPr>
                          <w:jc w:val="center"/>
                        </w:pPr>
                        <w:r>
                          <w:t>Solid</w:t>
                        </w:r>
                      </w:p>
                    </w:txbxContent>
                  </v:textbox>
                </v:shape>
                <v:shape id="Text Box 2" o:spid="_x0000_s1028" type="#_x0000_t202" style="position:absolute;left:16486;width:6160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:rsidR="00760AD3" w:rsidRDefault="00760AD3" w:rsidP="00760AD3">
                        <w:pPr>
                          <w:jc w:val="center"/>
                        </w:pPr>
                        <w:r>
                          <w:t>Liquid</w:t>
                        </w:r>
                      </w:p>
                    </w:txbxContent>
                  </v:textbox>
                </v:shape>
                <v:shape id="Text Box 2" o:spid="_x0000_s1029" type="#_x0000_t202" style="position:absolute;left:32515;top:4;width:6160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:rsidR="00760AD3" w:rsidRDefault="00760AD3" w:rsidP="00760AD3">
                        <w:pPr>
                          <w:jc w:val="center"/>
                        </w:pPr>
                        <w:r>
                          <w:t>Gas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Cs w:val="18"/>
          <w:lang w:eastAsia="en-GB"/>
        </w:rPr>
        <w:drawing>
          <wp:inline distT="0" distB="0" distL="0" distR="0" wp14:anchorId="14B33BCC">
            <wp:extent cx="4264083" cy="1859751"/>
            <wp:effectExtent l="0" t="0" r="3175" b="762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322" cy="188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9D9" w:rsidRPr="00201AC2" w:rsidRDefault="00F729D9" w:rsidP="001E159E">
      <w:pPr>
        <w:spacing w:after="240"/>
        <w:rPr>
          <w:szCs w:val="18"/>
        </w:rPr>
      </w:pPr>
    </w:p>
    <w:p w:rsidR="00760AD3" w:rsidRPr="00760AD3" w:rsidRDefault="00BC1BFD" w:rsidP="00760AD3">
      <w:pPr>
        <w:spacing w:after="120"/>
        <w:ind w:left="425" w:hanging="425"/>
        <w:rPr>
          <w:sz w:val="28"/>
          <w:szCs w:val="18"/>
        </w:rPr>
      </w:pPr>
      <w:r>
        <w:rPr>
          <w:sz w:val="28"/>
          <w:szCs w:val="18"/>
          <w:lang w:val="en-US"/>
        </w:rPr>
        <w:t>These statements are about</w:t>
      </w:r>
      <w:r w:rsidR="00760AD3" w:rsidRPr="00760AD3">
        <w:rPr>
          <w:sz w:val="28"/>
          <w:szCs w:val="18"/>
          <w:lang w:val="en-US"/>
        </w:rPr>
        <w:t xml:space="preserve"> particles in </w:t>
      </w:r>
      <w:r>
        <w:rPr>
          <w:sz w:val="28"/>
          <w:szCs w:val="18"/>
          <w:lang w:val="en-US"/>
        </w:rPr>
        <w:t>the solid, liquid and gas states</w:t>
      </w:r>
      <w:r w:rsidR="00760AD3" w:rsidRPr="00760AD3">
        <w:rPr>
          <w:sz w:val="28"/>
          <w:szCs w:val="18"/>
          <w:lang w:val="en-US"/>
        </w:rPr>
        <w:t>.</w:t>
      </w:r>
    </w:p>
    <w:p w:rsidR="001E159E" w:rsidRPr="00760AD3" w:rsidRDefault="001E159E" w:rsidP="00760AD3">
      <w:pPr>
        <w:spacing w:after="240"/>
        <w:ind w:left="425" w:hanging="425"/>
        <w:rPr>
          <w:i/>
        </w:rPr>
      </w:pPr>
      <w:r w:rsidRPr="00760AD3">
        <w:rPr>
          <w:i/>
        </w:rPr>
        <w:t>For each statement, tick (</w:t>
      </w:r>
      <w:r w:rsidRPr="00760AD3">
        <w:rPr>
          <w:i/>
        </w:rPr>
        <w:sym w:font="Wingdings" w:char="F0FC"/>
      </w:r>
      <w:r w:rsidRPr="00760AD3">
        <w:rPr>
          <w:i/>
        </w:rPr>
        <w:t xml:space="preserve">) </w:t>
      </w:r>
      <w:r w:rsidRPr="00760AD3">
        <w:rPr>
          <w:b/>
          <w:i/>
        </w:rPr>
        <w:t>one</w:t>
      </w:r>
      <w:r w:rsidRPr="00760AD3">
        <w:rPr>
          <w:i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60AD3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60AD3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60AD3" w:rsidRDefault="00760AD3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60AD3">
              <w:rPr>
                <w:rFonts w:eastAsia="Times New Roman" w:cs="Times New Roman"/>
                <w:b/>
                <w:bCs/>
                <w:lang w:eastAsia="en-GB"/>
              </w:rPr>
              <w:t>All</w:t>
            </w:r>
            <w:r w:rsidRPr="00760AD3">
              <w:rPr>
                <w:rFonts w:eastAsia="Times New Roman" w:cs="Times New Roman"/>
                <w:lang w:eastAsia="en-GB"/>
              </w:rPr>
              <w:t xml:space="preserve"> particles have mass.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60AD3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60AD3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60AD3" w:rsidRDefault="00760AD3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60AD3">
              <w:rPr>
                <w:rFonts w:eastAsia="Times New Roman" w:cs="Times New Roman"/>
                <w:b/>
                <w:bCs/>
                <w:lang w:eastAsia="en-GB"/>
              </w:rPr>
              <w:t xml:space="preserve">All </w:t>
            </w:r>
            <w:r w:rsidRPr="00760AD3">
              <w:rPr>
                <w:rFonts w:eastAsia="Times New Roman" w:cs="Times New Roman"/>
                <w:lang w:eastAsia="en-GB"/>
              </w:rPr>
              <w:t>particles have a volume.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60AD3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60AD3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60AD3" w:rsidRDefault="00760AD3" w:rsidP="00760AD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60AD3">
              <w:rPr>
                <w:rFonts w:eastAsia="Times New Roman" w:cs="Times New Roman"/>
                <w:lang w:eastAsia="en-GB"/>
              </w:rPr>
              <w:t xml:space="preserve">A substance or material is made of particles – </w:t>
            </w:r>
            <w:r w:rsidRPr="00760AD3">
              <w:rPr>
                <w:rFonts w:eastAsia="Times New Roman" w:cs="Times New Roman"/>
                <w:b/>
                <w:bCs/>
                <w:lang w:eastAsia="en-GB"/>
              </w:rPr>
              <w:t>nothing</w:t>
            </w:r>
            <w:r w:rsidRPr="00760AD3">
              <w:rPr>
                <w:rFonts w:eastAsia="Times New Roman" w:cs="Times New Roman"/>
                <w:lang w:eastAsia="en-GB"/>
              </w:rPr>
              <w:t xml:space="preserve"> else.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47A9F" w:rsidRPr="006F3279" w:rsidRDefault="00247A9F" w:rsidP="00247A9F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PMA4: Particle explanations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PMA4.1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Density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247A9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Particle characteristics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247A9F" w:rsidP="0007651D">
            <w:pPr>
              <w:spacing w:before="60" w:after="60"/>
            </w:pPr>
            <w:r w:rsidRPr="00247A9F">
              <w:t>Density, the mass of material in 1m</w:t>
            </w:r>
            <w:r w:rsidRPr="005935BC">
              <w:rPr>
                <w:vertAlign w:val="superscript"/>
              </w:rPr>
              <w:t>3</w:t>
            </w:r>
            <w:r w:rsidRPr="00247A9F">
              <w:t xml:space="preserve"> or in 1cm</w:t>
            </w:r>
            <w:r w:rsidRPr="005935BC">
              <w:rPr>
                <w:vertAlign w:val="superscript"/>
              </w:rPr>
              <w:t>3</w:t>
            </w:r>
            <w:r w:rsidRPr="00247A9F">
              <w:t>, is dependent on both the mass of its particles and their spatial arrangement.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247A9F" w:rsidP="0007651D">
            <w:pPr>
              <w:spacing w:before="60" w:after="60"/>
              <w:rPr>
                <w:b/>
              </w:rPr>
            </w:pPr>
            <w:r w:rsidRPr="00247A9F">
              <w:t>Use the particle model to explain differences in density.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5935BC" w:rsidP="000505CA">
            <w:pPr>
              <w:spacing w:before="60" w:after="60"/>
            </w:pPr>
            <w:r>
              <w:t>Particle, mass, volume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767C87" w:rsidRPr="00EB7A49" w:rsidRDefault="00767C87" w:rsidP="00767C87">
      <w:pPr>
        <w:autoSpaceDE w:val="0"/>
        <w:autoSpaceDN w:val="0"/>
        <w:adjustRightInd w:val="0"/>
        <w:spacing w:after="180"/>
        <w:rPr>
          <w:rFonts w:cstheme="minorHAnsi"/>
          <w:color w:val="000000"/>
        </w:rPr>
      </w:pPr>
      <w:r>
        <w:rPr>
          <w:rFonts w:cstheme="minorHAnsi"/>
          <w:color w:val="000000"/>
        </w:rPr>
        <w:t>An understanding of particles is not necessary to understand density, but t</w:t>
      </w:r>
      <w:r>
        <w:t xml:space="preserve">o understand </w:t>
      </w:r>
      <w:r w:rsidRPr="0070758F">
        <w:rPr>
          <w:i/>
        </w:rPr>
        <w:t>why</w:t>
      </w:r>
      <w:r>
        <w:t xml:space="preserve"> the density of one material is different to the density of another, students need to use the particle model. They also need to understand that even sub-microscopic particles have a mass and volume </w:t>
      </w:r>
      <w:r>
        <w:fldChar w:fldCharType="begin"/>
      </w:r>
      <w:r>
        <w:instrText xml:space="preserve"> ADDIN EN.CITE &lt;EndNote&gt;&lt;Cite&gt;&lt;Author&gt;Smith&lt;/Author&gt;&lt;Year&gt;1992&lt;/Year&gt;&lt;IDText&gt;Using conceptual models to facilitate conceptual change: the case of weight-density differentiation&lt;/IDText&gt;&lt;DisplayText&gt;(Smith, Snir and Grosslight, 1992)&lt;/DisplayText&gt;&lt;record&gt;&lt;titles&gt;&lt;title&gt;Using conceptual models to facilitate conceptual change: the case of weight-density differentiation&lt;/title&gt;&lt;secondary-title&gt;Cognition and Instruction&lt;/secondary-title&gt;&lt;/titles&gt;&lt;pages&gt;221-283&lt;/pages&gt;&lt;contributors&gt;&lt;authors&gt;&lt;author&gt;Smith, C&lt;/author&gt;&lt;author&gt;Snir, J&lt;/author&gt;&lt;author&gt;Grosslight, L&lt;/author&gt;&lt;/authors&gt;&lt;/contributors&gt;&lt;added-date format="utc"&gt;1597306195&lt;/added-date&gt;&lt;ref-type name="Journal Article"&gt;17&lt;/ref-type&gt;&lt;dates&gt;&lt;year&gt;1992&lt;/year&gt;&lt;/dates&gt;&lt;rec-number&gt;297&lt;/rec-number&gt;&lt;last-updated-date format="utc"&gt;1597327794&lt;/last-updated-date&gt;&lt;volume&gt;9(3)&lt;/volume&gt;&lt;/record&gt;&lt;/Cite&gt;&lt;/EndNote&gt;</w:instrText>
      </w:r>
      <w:r>
        <w:fldChar w:fldCharType="separate"/>
      </w:r>
      <w:r>
        <w:rPr>
          <w:noProof/>
        </w:rPr>
        <w:t>(Smith, Snir and Grosslight, 1992)</w:t>
      </w:r>
      <w:r>
        <w:fldChar w:fldCharType="end"/>
      </w:r>
      <w:r>
        <w:t xml:space="preserve">. Smith et al. </w:t>
      </w:r>
      <w:r>
        <w:fldChar w:fldCharType="begin"/>
      </w:r>
      <w:r>
        <w:instrText xml:space="preserve"> ADDIN EN.CITE &lt;EndNote&gt;&lt;Cite ExcludeAuth="1"&gt;&lt;Author&gt;Smith&lt;/Author&gt;&lt;Year&gt;1997&lt;/Year&gt;&lt;IDText&gt;Teaching for understanding: a study of students&amp;apos; preinstruction theories of matter and a comparison of the effectiveness of two approaches to teaching about matter and density&lt;/IDText&gt;&lt;DisplayText&gt;(1997)&lt;/DisplayText&gt;&lt;record&gt;&lt;titles&gt;&lt;title&gt;Teaching for understanding: a study of students&amp;apos; preinstruction theories of matter and a comparison of the effectiveness of two approaches to teaching about matter and density&lt;/title&gt;&lt;secondary-title&gt;Cognition and Instruction&lt;/secondary-title&gt;&lt;/titles&gt;&lt;pages&gt;317-393&lt;/pages&gt;&lt;contributors&gt;&lt;authors&gt;&lt;author&gt;Smith, C&lt;/author&gt;&lt;author&gt;Maclin, D&lt;/author&gt;&lt;author&gt;Grosslight, L&lt;/author&gt;&lt;author&gt;Davis, H&lt;/author&gt;&lt;/authors&gt;&lt;/contributors&gt;&lt;added-date format="utc"&gt;1597321190&lt;/added-date&gt;&lt;ref-type name="Journal Article"&gt;17&lt;/ref-type&gt;&lt;dates&gt;&lt;year&gt;1997&lt;/year&gt;&lt;/dates&gt;&lt;rec-number&gt;299&lt;/rec-number&gt;&lt;last-updated-date format="utc"&gt;1597327794&lt;/last-updated-date&gt;&lt;volume&gt;15(3)&lt;/volume&gt;&lt;/record&gt;&lt;/Cite&gt;&lt;/EndNote&gt;</w:instrText>
      </w:r>
      <w:r>
        <w:fldChar w:fldCharType="separate"/>
      </w:r>
      <w:r>
        <w:rPr>
          <w:noProof/>
        </w:rPr>
        <w:t>(1997)</w:t>
      </w:r>
      <w:r>
        <w:fldChar w:fldCharType="end"/>
      </w:r>
      <w:r>
        <w:t xml:space="preserve"> found that although these concepts are often assumed when density is taught, 27% of 12- to 13-year-olds (n=30) do not hold them. In their study they found that giving students opportunity to address these concepts directly led to a more robust understanding of density.</w:t>
      </w:r>
    </w:p>
    <w:p w:rsidR="00DE6121" w:rsidRDefault="00DE6121" w:rsidP="00DE6121">
      <w:pPr>
        <w:spacing w:after="180"/>
      </w:pPr>
      <w:r>
        <w:t xml:space="preserve">The particle model of matter can represent how closely particles are packed together, which together with the mass of each particle explains the density of a material. </w:t>
      </w:r>
      <w:r>
        <w:rPr>
          <w:rFonts w:cstheme="minorHAnsi"/>
          <w:color w:val="000000"/>
        </w:rPr>
        <w:t>Density is a joint function of mass of particles and their spatial arrangement, which is affected by temperature and pressure.</w:t>
      </w:r>
      <w:r w:rsidRPr="006434B5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An understanding of particles provides students with powerful tools for thinking about changes of density. </w:t>
      </w:r>
      <w:r>
        <w:rPr>
          <w:rFonts w:cstheme="minorHAnsi"/>
          <w:color w:val="000000"/>
        </w:rPr>
        <w:fldChar w:fldCharType="begin"/>
      </w:r>
      <w:r>
        <w:rPr>
          <w:rFonts w:cstheme="minorHAnsi"/>
          <w:color w:val="000000"/>
        </w:rPr>
        <w:instrText xml:space="preserve"> ADDIN EN.CITE &lt;EndNote&gt;&lt;Cite&gt;&lt;Author&gt;Smith&lt;/Author&gt;&lt;Year&gt;1992&lt;/Year&gt;&lt;IDText&gt;Using conceptual models to facilitate conceptual change: the case of weight-density differentiation&lt;/IDText&gt;&lt;DisplayText&gt;(Smith et al., 1992)&lt;/DisplayText&gt;&lt;record&gt;&lt;titles&gt;&lt;title&gt;Using conceptual models to facilitate conceptual change: the case of weight-density differentiation&lt;/title&gt;&lt;secondary-title&gt;Cognition and Instruction&lt;/secondary-title&gt;&lt;/titles&gt;&lt;pages&gt;221-283&lt;/pages&gt;&lt;contributors&gt;&lt;authors&gt;&lt;author&gt;Smith, C&lt;/author&gt;&lt;author&gt;Snir, J&lt;/author&gt;&lt;author&gt;Grosslight, L&lt;/author&gt;&lt;/authors&gt;&lt;/contributors&gt;&lt;added-date format="utc"&gt;1597306195&lt;/added-date&gt;&lt;ref-type name="Journal Article"&gt;17&lt;/ref-type&gt;&lt;dates&gt;&lt;year&gt;1992&lt;/year&gt;&lt;/dates&gt;&lt;rec-number&gt;297&lt;/rec-number&gt;&lt;last-updated-date format="utc"&gt;1597327794&lt;/last-updated-date&gt;&lt;volume&gt;9(3)&lt;/volume&gt;&lt;/record&gt;&lt;/Cite&gt;&lt;/EndNote&gt;</w:instrText>
      </w:r>
      <w:r>
        <w:rPr>
          <w:rFonts w:cstheme="minorHAnsi"/>
          <w:color w:val="000000"/>
        </w:rPr>
        <w:fldChar w:fldCharType="separate"/>
      </w:r>
      <w:r>
        <w:rPr>
          <w:rFonts w:cstheme="minorHAnsi"/>
          <w:noProof/>
          <w:color w:val="000000"/>
        </w:rPr>
        <w:t>(Smith et al., 1992)</w:t>
      </w:r>
      <w:r>
        <w:rPr>
          <w:rFonts w:cstheme="minorHAnsi"/>
          <w:color w:val="000000"/>
        </w:rPr>
        <w:fldChar w:fldCharType="end"/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767C87" w:rsidRDefault="00767C87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6A2669" w:rsidP="00BF6C8A">
      <w:pPr>
        <w:spacing w:after="180"/>
      </w:pPr>
      <w:r>
        <w:t>All three statements are right.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A2669" w:rsidRDefault="006A2669" w:rsidP="00A01222">
      <w:pPr>
        <w:spacing w:after="180"/>
      </w:pPr>
      <w:r>
        <w:t xml:space="preserve">Smith et al. </w:t>
      </w:r>
      <w:r>
        <w:fldChar w:fldCharType="begin"/>
      </w:r>
      <w:r>
        <w:instrText xml:space="preserve"> ADDIN EN.CITE &lt;EndNote&gt;&lt;Cite ExcludeAuth="1"&gt;&lt;Author&gt;Smith&lt;/Author&gt;&lt;Year&gt;1997&lt;/Year&gt;&lt;IDText&gt;Teaching for understanding: a study of students&amp;apos; preinstruction theories of matter and a comparison of the effectiveness of two approaches to teaching about matter and density&lt;/IDText&gt;&lt;DisplayText&gt;(1997)&lt;/DisplayText&gt;&lt;record&gt;&lt;titles&gt;&lt;title&gt;Teaching for understanding: a study of students&amp;apos; preinstruction theories of matter and a comparison of the effectiveness of two approaches to teaching about matter and density&lt;/title&gt;&lt;secondary-title&gt;Cognition and Instruction&lt;/secondary-title&gt;&lt;/titles&gt;&lt;pages&gt;317-393&lt;/pages&gt;&lt;contributors&gt;&lt;authors&gt;&lt;author&gt;Smith, C&lt;/author&gt;&lt;author&gt;Maclin, D&lt;/author&gt;&lt;author&gt;Grosslight, L&lt;/author&gt;&lt;author&gt;Davis, H&lt;/author&gt;&lt;/authors&gt;&lt;/contributors&gt;&lt;added-date format="utc"&gt;1597321190&lt;/added-date&gt;&lt;ref-type name="Journal Article"&gt;17&lt;/ref-type&gt;&lt;dates&gt;&lt;year&gt;1997&lt;/year&gt;&lt;/dates&gt;&lt;rec-number&gt;299&lt;/rec-number&gt;&lt;last-updated-date format="utc"&gt;1597327794&lt;/last-updated-date&gt;&lt;volume&gt;15(3)&lt;/volume&gt;&lt;/record&gt;&lt;/Cite&gt;&lt;/EndNote&gt;</w:instrText>
      </w:r>
      <w:r>
        <w:fldChar w:fldCharType="separate"/>
      </w:r>
      <w:r>
        <w:rPr>
          <w:noProof/>
        </w:rPr>
        <w:t>(1997)</w:t>
      </w:r>
      <w:r>
        <w:fldChar w:fldCharType="end"/>
      </w:r>
      <w:r>
        <w:t xml:space="preserve"> asked students age 12-13 (n=30) what they thought would happen if piece of expanded polystyrene was repeatedly divided. At some point </w:t>
      </w:r>
      <w:r w:rsidR="00BE2921">
        <w:t xml:space="preserve">in the process, </w:t>
      </w:r>
      <w:r>
        <w:t xml:space="preserve">27% thought that the pieces </w:t>
      </w:r>
      <w:r w:rsidR="00BE2921">
        <w:t xml:space="preserve">created </w:t>
      </w:r>
      <w:r>
        <w:t xml:space="preserve">would have no mass and 33% that they would </w:t>
      </w:r>
      <w:r w:rsidR="00BE2921">
        <w:t xml:space="preserve">eventually </w:t>
      </w:r>
      <w:r>
        <w:t>disappear. Students with these misunderstandings typically think of matter in terms only of what they can directly observe.</w:t>
      </w:r>
    </w:p>
    <w:p w:rsidR="006A2669" w:rsidRDefault="00B02D05" w:rsidP="00A01222">
      <w:pPr>
        <w:spacing w:after="180"/>
      </w:pPr>
      <w:r>
        <w:t>The idea that there is ‘nothing’ between particles, even in the gas state, causes difficulties for many students.</w:t>
      </w:r>
    </w:p>
    <w:p w:rsidR="005935BC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B02D05">
        <w:t xml:space="preserve">the particle model and the idea that </w:t>
      </w:r>
      <w:r w:rsidR="00BE2921">
        <w:t xml:space="preserve">all </w:t>
      </w:r>
      <w:r w:rsidR="00B02D05">
        <w:t>particles hav</w:t>
      </w:r>
      <w:r w:rsidR="00BE2921">
        <w:t>e</w:t>
      </w:r>
      <w:r w:rsidR="00B02D05">
        <w:t xml:space="preserve"> mass and volume</w:t>
      </w:r>
      <w:r w:rsidRPr="004F039C">
        <w:t xml:space="preserve">, </w:t>
      </w:r>
      <w:r w:rsidR="00B02D05">
        <w:t>it may be necessary to spend some time reviewing the particle model</w:t>
      </w:r>
      <w:r>
        <w:t xml:space="preserve">. </w:t>
      </w:r>
      <w:r w:rsidR="00B02D05">
        <w:t>There are useful resources for doing this in the BEST key concept: CPS1.1 Particle model for the solid, liquid and gas states.</w:t>
      </w:r>
    </w:p>
    <w:p w:rsidR="00B02D05" w:rsidRDefault="00B02D05" w:rsidP="00A01222">
      <w:pPr>
        <w:spacing w:after="180"/>
      </w:pPr>
      <w:r>
        <w:t xml:space="preserve">Smith et al. </w:t>
      </w:r>
      <w:r>
        <w:fldChar w:fldCharType="begin"/>
      </w:r>
      <w:r>
        <w:instrText xml:space="preserve"> ADDIN EN.CITE &lt;EndNote&gt;&lt;Cite ExcludeAuth="1"&gt;&lt;Author&gt;Smith&lt;/Author&gt;&lt;Year&gt;1997&lt;/Year&gt;&lt;IDText&gt;Teaching for understanding: a study of students&amp;apos; preinstruction theories of matter and a comparison of the effectiveness of two approaches to teaching about matter and density&lt;/IDText&gt;&lt;DisplayText&gt;(1997)&lt;/DisplayText&gt;&lt;record&gt;&lt;titles&gt;&lt;title&gt;Teaching for understanding: a study of students&amp;apos; preinstruction theories of matter and a comparison of the effectiveness of two approaches to teaching about matter and density&lt;/title&gt;&lt;secondary-title&gt;Cognition and Instruction&lt;/secondary-title&gt;&lt;/titles&gt;&lt;pages&gt;317-393&lt;/pages&gt;&lt;contributors&gt;&lt;authors&gt;&lt;author&gt;Smith, C&lt;/author&gt;&lt;author&gt;Maclin, D&lt;/author&gt;&lt;author&gt;Grosslight, L&lt;/author&gt;&lt;author&gt;Davis, H&lt;/author&gt;&lt;/authors&gt;&lt;/contributors&gt;&lt;added-date format="utc"&gt;1597321190&lt;/added-date&gt;&lt;ref-type name="Journal Article"&gt;17&lt;/ref-type&gt;&lt;dates&gt;&lt;year&gt;1997&lt;/year&gt;&lt;/dates&gt;&lt;rec-number&gt;299&lt;/rec-number&gt;&lt;last-updated-date format="utc"&gt;1597327794&lt;/last-updated-date&gt;&lt;volume&gt;15(3)&lt;/volume&gt;&lt;/record&gt;&lt;/Cite&gt;&lt;/EndNote&gt;</w:instrText>
      </w:r>
      <w:r>
        <w:fldChar w:fldCharType="separate"/>
      </w:r>
      <w:r>
        <w:rPr>
          <w:noProof/>
        </w:rPr>
        <w:t>(1997)</w:t>
      </w:r>
      <w:r>
        <w:fldChar w:fldCharType="end"/>
      </w:r>
      <w:r>
        <w:t xml:space="preserve"> found that engaging students in measuring the mass of individual lentils or grains of rice enabled them to more readily understand that particles have mass and volume. On its own a lentil does not register on a balance, but measuring the mass of a hundred lentils and dividing to find the mass of one appears to </w:t>
      </w:r>
      <w:r w:rsidR="00CD7BAD">
        <w:t xml:space="preserve">help students </w:t>
      </w:r>
      <w:r w:rsidR="00BE2921">
        <w:t>consider</w:t>
      </w:r>
      <w:r w:rsidR="00CD7BAD">
        <w:t xml:space="preserve"> mass </w:t>
      </w:r>
      <w:r w:rsidR="00BE2921">
        <w:t>to be</w:t>
      </w:r>
      <w:r w:rsidR="00CD7BAD">
        <w:t xml:space="preserve"> property </w:t>
      </w:r>
      <w:r w:rsidR="00BE2921">
        <w:t xml:space="preserve">of individual particles, which, when many particles are combined, </w:t>
      </w:r>
      <w:r w:rsidR="00CD7BAD">
        <w:t>can add to a size that is directly observable.</w:t>
      </w:r>
    </w:p>
    <w:p w:rsidR="00A01222" w:rsidRPr="005935BC" w:rsidRDefault="00CD7BAD" w:rsidP="00A01222">
      <w:pPr>
        <w:spacing w:after="180"/>
      </w:pPr>
      <w:r>
        <w:t xml:space="preserve">Careful questioning can lead students to understanding that the mass and physical spacing </w:t>
      </w:r>
      <w:r w:rsidR="00081823">
        <w:t xml:space="preserve">of particles </w:t>
      </w:r>
      <w:bookmarkStart w:id="0" w:name="_GoBack"/>
      <w:bookmarkEnd w:id="0"/>
      <w:r>
        <w:t xml:space="preserve">can explain the density of different materials. </w:t>
      </w:r>
      <w:r w:rsidR="00A01222" w:rsidRPr="005935BC">
        <w:t xml:space="preserve">The following BEST ‘response </w:t>
      </w:r>
      <w:r w:rsidR="00F2483A" w:rsidRPr="005935BC">
        <w:t>ac</w:t>
      </w:r>
      <w:r>
        <w:t>tivity</w:t>
      </w:r>
      <w:r w:rsidR="00A01222" w:rsidRPr="005935BC">
        <w:t>’ could be used in follow-up to this diagnostic question:</w:t>
      </w:r>
    </w:p>
    <w:p w:rsidR="00A01222" w:rsidRPr="005935BC" w:rsidRDefault="00A01222" w:rsidP="00A01222">
      <w:pPr>
        <w:pStyle w:val="ListParagraph"/>
        <w:numPr>
          <w:ilvl w:val="0"/>
          <w:numId w:val="1"/>
        </w:numPr>
        <w:spacing w:after="180"/>
      </w:pPr>
      <w:r w:rsidRPr="005935BC">
        <w:t xml:space="preserve">Response </w:t>
      </w:r>
      <w:r w:rsidR="00F2483A" w:rsidRPr="005935BC">
        <w:t>activity</w:t>
      </w:r>
      <w:r w:rsidRPr="005935BC">
        <w:t xml:space="preserve">: </w:t>
      </w:r>
      <w:r w:rsidR="005935BC" w:rsidRPr="005935BC">
        <w:t>Modelling density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5935B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5935BC">
        <w:t>.</w:t>
      </w:r>
    </w:p>
    <w:p w:rsidR="00767C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A2669" w:rsidRPr="006A2669" w:rsidRDefault="00767C87" w:rsidP="00CD7BAD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6A2669" w:rsidRPr="006A2669">
        <w:t xml:space="preserve">Smith, C., et al. (1997). Teaching for understanding: a study of students' preinstruction theories of matter and a comparison of the effectiveness of two approaches to teaching about matter and density. </w:t>
      </w:r>
      <w:r w:rsidR="006A2669" w:rsidRPr="006A2669">
        <w:rPr>
          <w:i/>
        </w:rPr>
        <w:t>Cognition and Instruction,</w:t>
      </w:r>
      <w:r w:rsidR="006A2669" w:rsidRPr="006A2669">
        <w:t xml:space="preserve"> 15(3)</w:t>
      </w:r>
      <w:r w:rsidR="006A2669" w:rsidRPr="006A2669">
        <w:rPr>
          <w:b/>
        </w:rPr>
        <w:t>,</w:t>
      </w:r>
      <w:r w:rsidR="006A2669" w:rsidRPr="006A2669">
        <w:t xml:space="preserve"> 317-393.</w:t>
      </w:r>
    </w:p>
    <w:p w:rsidR="006A2669" w:rsidRPr="006A2669" w:rsidRDefault="006A2669" w:rsidP="00CD7BAD">
      <w:pPr>
        <w:pStyle w:val="EndNoteBibliography"/>
        <w:spacing w:after="120"/>
        <w:ind w:left="425" w:hanging="425"/>
      </w:pPr>
      <w:r w:rsidRPr="006A2669">
        <w:t xml:space="preserve">Smith, C., Snir, J. and Grosslight, L. (1992). Using conceptual models to facilitate conceptual change: the case of weight-density differentiation. </w:t>
      </w:r>
      <w:r w:rsidRPr="006A2669">
        <w:rPr>
          <w:i/>
        </w:rPr>
        <w:t>Cognition and Instruction,</w:t>
      </w:r>
      <w:r w:rsidRPr="006A2669">
        <w:t xml:space="preserve"> 9(3)</w:t>
      </w:r>
      <w:r w:rsidRPr="006A2669">
        <w:rPr>
          <w:b/>
        </w:rPr>
        <w:t>,</w:t>
      </w:r>
      <w:r w:rsidRPr="006A2669">
        <w:t xml:space="preserve"> 221-283.</w:t>
      </w:r>
    </w:p>
    <w:p w:rsidR="00B46FF9" w:rsidRDefault="00767C87" w:rsidP="00CD7BAD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AD3" w:rsidRDefault="00760AD3" w:rsidP="000B473B">
      <w:r>
        <w:separator/>
      </w:r>
    </w:p>
  </w:endnote>
  <w:endnote w:type="continuationSeparator" w:id="0">
    <w:p w:rsidR="00760AD3" w:rsidRDefault="00760AD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4C7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8182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AD3" w:rsidRDefault="00760AD3" w:rsidP="000B473B">
      <w:r>
        <w:separator/>
      </w:r>
    </w:p>
  </w:footnote>
  <w:footnote w:type="continuationSeparator" w:id="0">
    <w:p w:rsidR="00760AD3" w:rsidRDefault="00760AD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6776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2D8F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60AD3"/>
    <w:rsid w:val="00015578"/>
    <w:rsid w:val="00024731"/>
    <w:rsid w:val="00026DEC"/>
    <w:rsid w:val="000505CA"/>
    <w:rsid w:val="0007651D"/>
    <w:rsid w:val="00081823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47A9F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935BC"/>
    <w:rsid w:val="005A452E"/>
    <w:rsid w:val="005A6EE7"/>
    <w:rsid w:val="005F1A7B"/>
    <w:rsid w:val="006355D8"/>
    <w:rsid w:val="00642ECD"/>
    <w:rsid w:val="006502A0"/>
    <w:rsid w:val="006772F5"/>
    <w:rsid w:val="006A2669"/>
    <w:rsid w:val="006A4440"/>
    <w:rsid w:val="006B0615"/>
    <w:rsid w:val="006D166B"/>
    <w:rsid w:val="006F3279"/>
    <w:rsid w:val="00704AEE"/>
    <w:rsid w:val="00722F9A"/>
    <w:rsid w:val="00754539"/>
    <w:rsid w:val="00760AD3"/>
    <w:rsid w:val="00767C87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2D05"/>
    <w:rsid w:val="00B06225"/>
    <w:rsid w:val="00B23C7A"/>
    <w:rsid w:val="00B305F5"/>
    <w:rsid w:val="00B46FF9"/>
    <w:rsid w:val="00B47E1D"/>
    <w:rsid w:val="00B75483"/>
    <w:rsid w:val="00BA7952"/>
    <w:rsid w:val="00BB44B4"/>
    <w:rsid w:val="00BC1BFD"/>
    <w:rsid w:val="00BE2921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D7BAD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E6121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9D9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0DF17C"/>
  <w15:docId w15:val="{BB28B045-31D2-472F-BAB4-D2D9641D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767C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7C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67C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67C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Physics_D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BEST_Template_Physics_D_Confidence grid.dotx</Template>
  <TotalTime>67</TotalTime>
  <Pages>3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7</cp:revision>
  <cp:lastPrinted>2017-02-24T16:20:00Z</cp:lastPrinted>
  <dcterms:created xsi:type="dcterms:W3CDTF">2020-08-25T12:39:00Z</dcterms:created>
  <dcterms:modified xsi:type="dcterms:W3CDTF">2020-08-28T10:42:00Z</dcterms:modified>
</cp:coreProperties>
</file>